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Subject: Computer Science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Year group:10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Head of Department: Ms Y. Khanum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Examination Board: OCR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AIMS OF THE COMPUTING DEPARTMENT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To develop, maintain and stimulate an interest and enjoyment in the use of ICT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software and equipment;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To develop appropriate ICT skills, principles, methods and terminology and the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ability to communicate and interpret information and concepts relevant 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computing;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To assess and monitor students’ progress and ensure progression and continuity 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acquisition of ICT skills;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To enable all pupils to have equal access to ICT and experience success in their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To use ICT to improve the learning experiences of all students, including those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learning difficulties or disabilities;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To encourage and allow students to adapt to the rapid technological changes 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society;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To develop an awareness of social, economic and political consequences of the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 of ICT for individuals and society;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COURSE DESCRIPTION - UNITS/MODULES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Computer Science is about problem-solving. A good Computer Scientist needs to have 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passion for finding solutions, an ability to use mathematics and to work creatively.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If you like to solve games and puzzles, then Computing is for you!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Pupils studying this specification will learn the fundamentals of a computer system,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computing hardware, software, representation of how data in stored in a computer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system, databases, and networking. Students will also have the opportunity to develop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and use programming skills to solve problems.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There are 2 exams which are externally set and marked. Each exam makes up 40% of the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GCSE grade.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There is one Non-Exam Assessment which is a programming project worth 20% of the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GCSE grade. The project is a controlled assessment and it requires 20 hours of guided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learning in class with teacher supervision.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Below is a more detailed breakdown of the course: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Part 1: 40%, External examination on the following topics…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Computer systems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Topics covered are: Systems Architecture, Memory, Storage, Wired and wireless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networks, Network topologies, protocols and layers, System security, System software,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Ethical, legal, cultural and environmental concerns.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Part 2: 40%, External examination on the following topics…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Computational thinking, algorithms and programming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Topics covered are: Algorithms, Programming techniques, Producing robust programs,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Computational logic, Translators and facilities of languages, Data representation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Part 3: 20%, Externally set tasks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Programming project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project includes the following: Programming techniques, Analysis, Design,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Development, Testing and evaluation and conclusions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Pupils who study this course will learn to program using Python which is a high level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programming language.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STUDENT GROUPING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Mixed ability groups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IT WILL BE ASSESSED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Part 1 and Part 2 are externally assessed.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HOW IS THE COURSE TAUGHT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 course is taught using a range of different strategies including student led activities,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work, paired work and whole class interactive activities.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Homework will be set in line with the school homework policy.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TEXT BOOKS/MATERIALS/VISITS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Visits will happen throughout the year.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