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To give students a real, in depth understanding of how computer technology works.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Insight into what goes on ‘behind the scenes', including computer programming and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To develop critical thinking, analysis and problem solving skills which can be transferred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everyday life.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To use new and exciting resources to understand current and emerging technologies.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Examination Unit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Paper 1 – Computational thinking, code tracing, problem-solving, programming concepts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including the design of effective algorithms and the designing, writing, testing and refining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code. This unit is assessed by written exam which is a mix of multiple choice, short answer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long answer questions.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Paper 2 – A written assessment containing long and short multiple questions as well 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multiple choice, This tests students understanding of computer systems, networks, cyber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security, relational databases and SQL and legal ethical and environmental impacts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Computing.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AQA Computer Science Syllabus 8525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Unit 1: Computational thinking and problem solving 50%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Unit 2: Computing Concepts 50%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