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Entry requirements: Students need to be 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towards a minimum of grade 6 in mathematics 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choose this course. If you are not working at this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level, please consider the Digital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Technology course.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 will develop their skills around three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key areas: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An introduction to the central processing unit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(CPU), computer memory and storage, 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representation, wired and wireless networks,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network topologies, system security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 software. It also looks at ethical, legal,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cultural and environmental concerns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associated with computer science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The application of knowledge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understanding gained in component 01. You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will develop skills and understanding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computational thinking: algorithms,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programming techniques, producing robust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programs, computational logic and translators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The opportunity to undertake a programming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task(s) during their course of study which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allows you to develop your skills to design,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write, test and refine programs using a highlevel programming language. You will be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assessed on these skills during the written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examinations, in particular component 02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(section B).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Parts 1 and 2 are assessed through an external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Part 3 is assessed through moderated teacher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assessment.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careers will this give me access to?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Studying this course will give you access to further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higher education courses that in turn will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prepare you for a career in the following areas: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software developer, database administrator,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computer hardware engineer, computer systems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analyst, computer network architect, web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developer, information security analyst, computer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information research scientists, etc.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do current students say about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course?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“Computer science is really interesting. I 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currently creating software with python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learning how a PC works. I would recommend this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course to anyone who has an interest in computers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coding.” – ZP, Year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Who do I speak to for more information?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Mr Thompson – Head of Creative Arts and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Who would enjoy and be successful on this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course?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Students who want to learn programming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Logical thinkers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Creative designers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Mathematics thinkers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