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Course: OCR Computer Science GCSE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Paper 1: Computer Systems (50%), 1 hour 30 minutes written paper (no calculators allowed).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Paper 2: Computational thinking, algorithms and programming (50%), 1 hour 30 minutes written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paper (no calculators allowed).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Controlled Assessment: Programming project, 20 hours. Non-exam assessment.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Course Description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This qualification builds upon the knowledge, understanding and skills established through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the Computer Science elements of the Key Stage 3 programme of study. The content has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been designed not only to allow for a solid understanding of the fundamentals that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underpin computing but also to engage learners and to consider real world application of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computational logic.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Computer systems - This component will introduce learners to the Central Processing Unit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(CPU), computer memory and storage, wired and wireless networks, network topologies,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system security and system software.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Computational thinking, algorithms and programming - Learners will be introduced to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algorithms and programming, learning about programming techniques, how to produce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robust programs, computational logic, translators and facilities of computing languages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and data representation. Learners will become familiar with computing related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mathematics.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Programming project - Learners will need to create suitable algorithms which will provide a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solution to the problems identified in the task. They will then code their solutions in a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  <w:t xml:space="preserve">suitable programming language. The solutions must be tested at each stage to ensure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they solve the stated problem and learners must use a suitable test plan with appropriate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test data.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Progression Routes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The natural progression would be to take an A Level in computer science or one of the</w:t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many other STEM subjects that it underpin like science and engineering. Computing and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Computer Science are fast growing industries and the technology is always adapting to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meet different needs. This opens the door to many different job roles from IT support to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Game Testers and Programmers.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  <w:t xml:space="preserve">For further information, please contact our Subject Leader of Comp Science: Mr Davies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