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Paper 1 - Computer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component will assess: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Systems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Memory and 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Computer networks, connections and protocols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Network security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Systems software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Ethical, legal, cultural and environmental impacts of digital technology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Written paper: 1 hour and 30 minutes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50% of total GCSE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80 marks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Paper 2 - Computational thinking, algorithms and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component will assess: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Algorithms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Programming fundamentals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Producing robust programs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Boolean logic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Programming languages and Integrated Development Environments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Written paper: 1 hour and 30 minutes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50% of total GCSE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80 marks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