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 Available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Examination Board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AQA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course will inspire students who wish to study Computer Science and gain an insight into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related topics. As the course progresses students will develop an understanding of current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emerging technologies and how they work, applying them in other contexts. The course covers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such as computer systems, binary logic, hardware, software, input and output devices,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databases, networks, the Internet and writing computer programs.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Technical skills will be acquired and the students will be able to work independently, as well 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developing skills to work collaboratively in order to solve problems. Computer programs will 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developed and a range of languages will be used. The programs vary in complexity and may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include the use of Python, HTML, CSS and Visual Basic. Other programming languages may be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used from time to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course consists of two parts and the marks are allocated as follows: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i) Paper1: Computational thinking and programming skills, Written paper 2 hours, A mix of multiple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choice, short-answer and longer-answer questions assessing a student’s practical problem solving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computational thinking skills. 50% of the GCSE.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ii) Paper 2: Written assessment Written paper 1 ¾ hours A mix of multiple choice, short-answer,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longer-answer and extended response questions assessing SQL programming skills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theoretical knowledge. 50% of the GCSE.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school has excellent IT/Computing resources. Every lesson will be in a dedicated Computing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room and taught by an IT/Computing specialist. Apart from using the computers students will have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access to PG Online’s latest software. Additional resources will be available including a set 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Raspberry Pi devices for use in programming. The latter will have accessory kits to go with them.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course prepares candidates to make informed decisions for further learning and career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choices such as Cambridge Technical IT or A Level Computer Science courses. Students who opt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this subject will need to meet certain entry requirements and have a good ability 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mathematics and science.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