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Assessment: Three units of assessment: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Component 01 (Computer systems) – Externally assessed theory exam (40%)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Component 02 (Algorithms) – Externally assessed theory exam (40%)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Component 03/04 – Internally assessed programming project (20%)1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You should be on target to achieve at least Grade 6 in Mathematics to be considered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for Computer Science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Tiering: None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Component 01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Systems Architecture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Memory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Storage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Wired and wireless networks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Network topologies, protocols and layers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System security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System software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Ethical, legal, cultural and environmental concerns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Component 02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Algorithms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Programming techniques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Producing robust programs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Computational logic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Translators and facilities of languages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Data representation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Component 03/04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Programming techniques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Analysis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Development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Testing and evaluation and conclusions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