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“Everyone should learn how to code, it teaches you to think.” Steve Jobs - 1955-2011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Component Content Assessment % of grade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Computer Systems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unit will teach you the theory about a wide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range of issues such as hardware and software,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representation of data in computer systems.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mix of short and longer answer and extended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response questions assessing a student’s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theoretical knowledge.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1hr 30min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Paper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Computational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Thinking,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Algorithms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unit covers the theory of algorithms,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programming techniques, computational logic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data representation.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mix of short and longer answer questions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assessing a student’s practical problem solving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computational thinking skills.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1hr 30min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Skills/equipment required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course requires students to be on track in maths. This course requires an interest in computers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programming outside of the classroom as well as an ability to solve problems.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will I learn from this course?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course covers the following topics: the theory of systems architecture, memory and storage,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computer networks, connections and protocols, network security, systems software, ethical, legal,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cultural and environmental impacts of digital technology; the theory of algorithms, programming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fundamentals, producing robust programs, Boolean logic, programming languages and Integrated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Development Environments.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careers can this subject lead to?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Computer science is an exciting subject and can provide you with huge opportunities across lots 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industries, for example: Computer Programmer, Day Trader, Machine Learning Engineer, CAD Designer,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Games Developer, Legoland Designer, Clothes Designer, Tumblr product manager, Software Developer,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Software Architect, Geographical information systems officer, Secondary school teacher, Technical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Author, Music Data Analyst, MI5, MI6 and GCHQ.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further details please see Mr Hersey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