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 the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exciting GCSE gives pupils an excellent opportunity to develop their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understanding of current and emerging technologies and how they work, acquire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apply creative and technical skills, knowledge and understanding of IT in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range of contexts, as well as develop computer programming and problem-solving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skills. The course includes some fascinating in-depth research and practical work.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Qualification Assessment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 Content Assessment method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Component 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Systems architecture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Memory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Storage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Wired and wireless networks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Network topologies,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protocols and layers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System security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Systems software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Moral, legal, cultural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environmental concerns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Written paper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50% of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paper that includes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mixture of short and long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 questions.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Component 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Computational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Thinking,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Algorithms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Algorithms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Programming techniques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Producing robust programs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Computational logic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Translators and facilities of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Data representation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Written paper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50% of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paper that includes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mixture of short and 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 questions, some of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will require candidates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write program code.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Component 03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Programming techniques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Analysis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Design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Development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Testing and evaluation 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Controlled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Candidates create solutions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computing tasks from a set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of options supplied by the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exam board.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Why take this course?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you take a GCSE in Computing and then go on to study the subject at A Level 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university, you could have an advantage over fellow students who are picking 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subject at these higher levels. The increasing importance of information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technologies means that there is a growing demand for professionals who are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qualified in this field.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 part of the course we liaise with local companies such as Bowers &amp; Wilkins (Digital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Sound and engineering and Electric Square (Software and Games development).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course is also an excellent preparation if you want to study or work in areas that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 the skills you will develop, especially where they’re applied to technical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problems. These areas include engineering, financial and resource management,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science and medicine.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course really enhances your logical thinking and problem solving skills.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further information please see: MR C BOSWELL or MRS R CARTER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