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Specification: Single Award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Examination Board: 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x programming project set by the exam board to show programming skills developed over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course (approx. 20 hours)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x Computer Systems Written Paper (1 hour 30minute 50% of the qualification)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x Computational thinking Written Paper (1 hour 30 minute 50% of the qualification)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 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Unit 01 - Computer Systems (Written Examination)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unit covers the body of knowledge about computer systems on which the examination will be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Unit 02 – Computational Thinking, Algorithms and Programming (Written Examination)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unit cover the body of knowledge for programming to include producing robust programs using suitable programming techniques.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Unit 03 – Programming Project (Controlled Assessment) Students will need 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Understand standard programming techniques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Design a coded solution to a problem 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Develop suitable algorithms;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Design suitable input and output formats;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Identify suitable variables and structures;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Identify test procedures;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coded solution annotating the developed code to explain its function and test their solution: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To show functionality;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To show how it matches the design criteria;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Identifying successes and any limitations.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Important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Have an understanding of current and emerging technologies and how they work. Understand what an algorithm is in computer programs. Be an independent and discerning user of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Apply creative and technical skills, knowledge and understanding of IT in a range of contexts. Develop computer programs to solve a problem. Evaluate the effectiveness of computer programs/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solutions and the impact of computer technology in society.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Future progression: Wide ranging across all IT sectors for example Computer Programmer, Software App Developer, Network Manager, Web Developer, System Analyst, Cyber Security.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Future progression: Wide ranging across all IT sectors for example Computer Programmer, Software App Developer, Network Manager, Web Developer, System Analyst, Cyber Security.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