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Examination board: OCR (course code J276)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Examinations: Computer Systems: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(90 minutes, 80 marks, 50% of the total GCSE)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Computational Thinking, Algorithms and Programming: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(90 minutes, 80 marks, 50% of the total GCSE)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Non examined assessment: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Year 10 Summer Term: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Programming Project: (20 hours, compulsory part of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course, internally assessed, time allocated monitored by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examination board.)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Course content: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course gives learners a real, in-depth understanding of how computer technology works.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Learners will no doubt be familiar with the use of computers and other related technology from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their other subjects and elsewhere. However, the course will give them an insight into what goes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‘behind the scenes’, including computer programming, which many learners find absorbing.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Focus on cyber security – It looks at phishing, malware, firewalls and people as the ‘weak point’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secure systems.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Encourages mental versatility – Students use their new-found programming skills on 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independent coding project by solving a real-world problem of their choice. The primary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language used at QMGS is Python.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Unit J276/01: Computer systems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Systems architecture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Memory &amp; Storage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Network topologies, protocols &amp; layers, Wired &amp; wireless networks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System software &amp; System security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Ethical, legal, cultural &amp; environmental concerns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Unit J276/02: Computational thinking, algorithms and programming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Algorithms &amp; Programming techniques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Computational logic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Translators &amp; facilities of languages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Data representation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Unit J276/03: Programming project (compulsory 20 hour task)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Programming techniques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Analysis, Design, Development, Testing, Evaluation &amp; conclusion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non-exam assessment tasks are provided by OCR. Learners will produce a report that details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iterative development for the project. While this is not marked by the exam board, it is 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vital part of the course to build computational thinking and programming skills for the written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examination and to gain a rounded understanding of the subject.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