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BOARD: AQA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GCSE Computer Science is a course that will equip you to shape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future of digital technologies.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1 focuses on Computational Thinking skills. You will study how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wide range of data, including text, sound and images are represented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binary. You will develop an understanding of how to create and how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interpret algorithms.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Paper 2 focuses on how computer systems work. You will look at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wide range of theory, including how computer networks work and how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internet works. You will look at basic programming skills in HTTP.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NEA is a project set by the exam board for completion in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You will complete one cycle of the system lifecycle, by analyzing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problem, designing a solution, creating a program in Python,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evaluating.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is this course assessed?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two exams weighted at 40% of the final grade each,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the NEA weighted at 20%. This is structured as follows: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Paper 1: 1 ½ hour written exam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Paper 2: 1 ½ hour written exam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NEA: Controlled coursework completed in Year 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can this qualification lead to?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course provides an excellent opportunity to progress into digital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industries. Whether you intend to become a programmer, a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tester or a project manager, this course provides the skill set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by the industry.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 Peter’s Sixth Form offers the AQA A-Level Computer Science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course. Many students who have completed this have progressed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Computing degrees at university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Further information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Further information about this course can be found on www.aqa.org.uk/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subjects/computer-science-and-it/gcse/computer-science-8525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contact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Harriet Ball – Head of Science and Computer Science Faculty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HBall@Stpetershuntingdon.org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