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(OCR Examination Board)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course aims to ensure that each pupil 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developing their understanding of current and emerging technologies and how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work.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looking at the use of algorithms in computer programs.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becoming independent and discerning users of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acquiring and applying creative and technical skills, knowledge and understanding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 IT in a range of contexts.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developing computer programs to solve problems.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evaluating the effectiveness of computer programs/solutions and the impact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computer technology in society.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Classes are taught in mixed ability groups.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spent in school on this subject: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hours per two week cycle.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Coursework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Programming Project Students will complete a programming project in year 11, where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they create solutions to computing tasks chosen from a set of options supplied by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Edexcel.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Examination Details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1: Computer Systems 50%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Paper 2: Computational Thinking,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Algorithms and Programming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Links with advanced courses and careers: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This qualification supports progress to further study, including A-levels in Computer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Science, BTEC National Qualifications in ICT and related subjects.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more information please contact: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Mr Cowell on Damian.Cowell@weaverhamhighschool.com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