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DEPARTMENT EXAM BOARD WEBSITE SPECIFICATION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Computing &amp; Business www.aqa.org.uk 8525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LEVELS ASSESSMENT(9-1) COURSE CONTACT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tiers of entry 100% Examination Mrs Williamson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liz.williamson@sandwich-tech.kent.sch.uk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Computer science enables students to understand and apply the fundamental principles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concepts of computer science, including abstraction, decomposition, logic, algorithms, and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representation. It helps them to analyse problems in computational terms through practical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experience of solving such problems, including designing, writing and debugging programs.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Topics Covered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Fundamentals of algorithms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Fundamentals of data representation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Fundamentals of computer networks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Relational databases and 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Ethical, legal and environmental impact of digital technology, including issues of privacy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Assessment 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One: Computational thinking and programming skills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hours, 90 marks (50%)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Two: Computing concepts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hour 45 minutes, 90 marks (50%)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can progress onto a Level 3 Computing course, other subject related courses at college, 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related apprenticeship. The course provides a stepping stone to further study and employment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within the programming industry and develops students’ critical thinking, analytical skills and ability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solve problems.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