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What will I learn?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 mixture of theory knowledge and practical skills will be taught. You will learn to program a computer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using a text-based language and to plan to solve problems.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• You will work independently to use code to develop solutions to problems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• You will have lessons which are theory based and will not be on a computer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• You will examine all aspects of computer systems and look at the wider implications of their use.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How will I be assessed?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 course is assessed using a theory exam worth 50% of the total grade and a practical programming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examination worth 50% of the overall grade. The two exams are at the end of year eleven. The practical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assessment is made up of multiple practical tasks which will require you to analyse and plan a solution for 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problem before solving it using the Python programming language.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What qualities and skills do I need for this course?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Computing is a challenging yet rewarding qualification which rewards those who are willing to dig a little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deeper in their own time. A good understanding of maths is essential as this is a key part of programming.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How is this course delivered?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Classroom based lessons using the schools ICT suites. Programming activities will be provided for you to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work on in your own time. The majority of lessons will not be using computers!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What can I do after this course?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Successful completion of the course at a level 2 would allow you to progress onto an A-level or other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relevant level 3 courses, such as BTEC. A computer science qualification is a very valuable one in a growing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technological world. From game and software designers to web design, government security to business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analysts. It is an ever-changing area of expertise and one that opens up a lot of career opportunities across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the world.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For further information please contact 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Teacher of Computer Science : Mr S Newton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