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https://www.ocr.org.uk/qualifications/gcse/computer-science-j277-from-2020/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Our new GCSE (9-1) Computer Science builds on the previous qualification development in this field. Relevant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the modern, changing world of computing, it is designed to boost computing skills essential for 21st century.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Why choose Computer Science?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Engaging and contemporary – We have links with companies such as Microsoft, Google and Cisco,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organisations like Computing At School (CAS), plus teachers and academics in this field.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Focus on cyber security – It looks at phishing, malware, firewalls and people as the ‘weak point’ 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secure systems, which students will study for the first time at this level.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A greater emphasis on ‘computational thinking’ –This new course will allow students to learn the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theory and apply it in real life situations, in any computing language.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Encourages mental versatility – Students use their new-found programming skills on coding projects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 by their teacher.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Support and guidance – Students have access to excellent resources, to help you enhance your own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computer science knowledge and skills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Computer Science is part of the English Baccalaureate.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Course Content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Computer Systems - written paper (1 hour 30 minutes) 50%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Systems Architecture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Memory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Storage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Wired and wireless networks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Network topologies, protocols and layers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System Security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System Software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Ethical, legal, cultural and environmental concerns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Computational thinking, algorithms &amp; programming - written paper (1 hour 30 minutes) 50%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Algorithms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Programming techniques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Producing robust programs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Computational logic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Translators and facilities of language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Data representation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Practical Programming skills from September 2020 will be accessed in paper 2.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specification is an updated version of the J276 GCSE (9–1) Computer Science specification to meet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Ofqual requirements introduced for first assessment 2022. All exam boards offering GCSE Computer Science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have to assess Practical Programming skills in the external examination from 2022 onwards.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