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Vision: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Our world is digital, a better understanding of computer science will enable them to make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informed choices in their ever-increasing digital world. This is imperative for all our pupils,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 just simply those who will become the software engineers of the future. Every child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every school has the right to a world-class computing education. To do that we need 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encourage, support, equip and train our students of computing. Computer science,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 where pupils are taught the principles of information and computation, how digital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systems work and how to put this knowledge to use through programming. Building upon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knowledge and understanding, pupils are equipped to use information technology 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programs, systems and a range of content. This ensures that pupils become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digitally literate – able to use, and express themselves and develop their creative ideas.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Pupils are prepared for the future workplace and world, whilst staying safe in their ever increasing digital world, simultaneously fully embracing the power of technology offered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them. We train our pupils not only for a G.C.S.E. but as much as possible with post-16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skills, relating to real-life situations wherever possible and feature cultural capital with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essential knowledge that children need to be educated citizens in the future.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Aims for our pupils: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Our pupils are prepared being guided how to learn, so they can evaluate and apply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information technology, including new or unfamiliar technologies, analytically to solve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Our pupils are encouraged to be creative, responsible, competent, confident and users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of computer science technology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Our pupils are coerced to become independent so they can understand and apply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fundamental principles and concepts of computer science, including abstraction, logic,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algorithms and data representation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Our pupils are encouraged to achieve using evaluation and apply information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technology, including new or unfamiliar technologies, analytically to solve problems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