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Area: Miss XXX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 Teachers: Mrs XXX, Miss XXX, Mr XXXX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Examination Board: AQA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Specification: 8035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 information:All pupils who choose Geography will study the full Geography GCSE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course. There is only one tier of entry meaning all pupils sit the same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examination at the end of Year 11. There are a variety of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within the exam papers, including multiple choice, short answer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longer extended answers. Many answers are supported by resources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provided within the exam paper to prompt pupil responses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you will study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you will be assessed:The GCSE Geography course highlights the links and interrelationships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between people, places, and environments at different scales.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course allows pupils to be globally and environmentally informed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well as thoughtful and enquiring citizens. Pupils develop the ability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analyse, question, evaluate, debate, argue and reason.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three components studied for Geography: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1: Living with the physical environment (35% of the GCSE)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The challenge of natural hazards: tectonic hazards, weather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hazards, climate change.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living world: tropical rainforests, hot deserts.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Physical landscapes of the UK: coastal landscapes, river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landscapes.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Unit 2: Challenges of the human environment (35% of the GCSE)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Urban issues and challenges: growth of cities and the resulting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opportunities and challenges.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The changing economic world: global variations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development, economic growth, the changing UK economy.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 challenge of resource management: access to food, water,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energy around the world, changing energy use in the UK.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Unit 3: Geographical applications (30% of the GCSE)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Fieldwork enquiry: familiar and unfamiliar fieldwork, including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two compulsory fieldwork enquiries.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Geographical skills: maps, graphs, photos, field sketches.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Issue evaluation: critical thinking and problem-solving to make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 informed decision on a current global geographical issue.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Parental support: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Revision material will be issued on Google Classroom from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of the course and revision packs issued prior to the exam.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The department subscribes to the Kerboodle online textbook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which all pupils will be provided with a login.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There are a range of CPG guides available for purchase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