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Living with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physical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Section A: The challenge of natural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hazards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Section B: The living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C: Physical landscapes in the UK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examination: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hour and 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35% of the GCSE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Unit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Challenges in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human environment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A: Urban issues and challenges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B: The changing economic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C: The challenge of resource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examination: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hour and 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35% of the GCSE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Geographical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Section A: Issue evaluation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Section B: Fieldwork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examination: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hour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15minutes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30% of the GCSE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Students will travel the world from the classroom, exploring case studies in the United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Kingdom (UK), newly emerging economies (NEEs) and lower income countries (LICs).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Topics of study include climate change, poverty, deprivation, global shifts in economic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power and the challenge of sustainable resource use. Students are also encouraged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understand their role in society, by considering different viewpoints, values and attitudes.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Who is this course suitable for?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Geography promotes a lifelong interest and fascination in how the world works. It is hands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on, relevant and it is fun. It is suitable for students who want to study the features of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earth such as volcanic eruptions and gain an appreciation of the social, economic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physical processes which shape and change our world.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Geography is a subject which forms part of the EBacc and is well respected by universities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employers.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 16 opportunities and Careers: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Students can progress from this qualification to a number of different qualifications at Level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3, including AS and A-levels in Geography, Geology, Environmental Sciences, Travel 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Tourism, and Leisure and Recreation. This rounded qualification which helps students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understand the world around them can be very useful in many forms of employment which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include the Leisure, Travel &amp; Tourism industry, Meteorology, Environmental Management,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Business &amp; Finance, Social Services and many more.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