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d4d4d"/>
          <w:sz w:val="23"/>
          <w:szCs w:val="23"/>
          <w:highlight w:val="white"/>
        </w:rPr>
      </w:pPr>
      <w:r w:rsidDel="00000000" w:rsidR="00000000" w:rsidRPr="00000000">
        <w:rPr>
          <w:color w:val="4d4d4d"/>
          <w:sz w:val="23"/>
          <w:szCs w:val="23"/>
          <w:highlight w:val="white"/>
          <w:rtl w:val="0"/>
        </w:rPr>
        <w:t xml:space="preserve">Our GCSE Geography course covers a diverse range of topics. It examines physical geographies, human geographies and the dynamic interaction between the two.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This is a one tier entry course that covers all grades 1 – 9. Students will sit the following examinations: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1.  </w:t>
        <w:tab/>
        <w:t xml:space="preserve">Paper 1. Living with the Physical Environment – natural hazards, ecosystems, river and coastal landscapes in the UK. Worth 35% of the final GCSE grade.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2.  </w:t>
        <w:tab/>
        <w:t xml:space="preserve">Paper 2. Challenges in the Human Environment – challenges and opportunities in megacities, the changing economic world and the challenge of resource management. Worth 35% of the final GCSE grade.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3.  </w:t>
        <w:tab/>
        <w:t xml:space="preserve">Paper 3. Geographical applications – issue evaluation, fieldwork, geographical skills. Worth 30% of the final GCSE grade.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Geographical skills are an essential component for success in the course so are taught and examined through all papers. As part of the course requirements, we undertake 2 fieldtrips in contrasting locations to develop enquiry skills.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8.69565217391306" w:lineRule="auto"/>
        <w:rPr>
          <w:color w:val="4d4d4d"/>
          <w:sz w:val="23"/>
          <w:szCs w:val="23"/>
        </w:rPr>
      </w:pPr>
      <w:r w:rsidDel="00000000" w:rsidR="00000000" w:rsidRPr="00000000">
        <w:rPr>
          <w:color w:val="4d4d4d"/>
          <w:sz w:val="23"/>
          <w:szCs w:val="23"/>
          <w:rtl w:val="0"/>
        </w:rPr>
        <w:t xml:space="preserve">Exam Board: AQA GCSE Geography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