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Year 9, you have already started studying GCSE Geography and starting to develop the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examination skills required to be successful. The subject bridges the gap between the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sciences and the arts and covers contemporary global issues; having an understanding of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these will become very important in your future life.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GCSE Geography qualification is a linear course with all examinations sat at the end of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course (Year 11). The new specification contains a unit 1 exam based on the physical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environment, a unit 2 exam based on the human environment and unit 3 exam based 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issue evaluation and fieldwork.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subject content is split into four units: 3.1 Living with the physical environment, 3.2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Challenge in the human environment, 3.3. Geographical applications and 3.4 Geographical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skills.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units 3.1 and 3.2 the content is split into sections, with each section focusing on 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particular geographical theme.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Unit 3.3 sets out the requirements for fieldwork and issue evaluation.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Unit 3.4 sets out the geographical skills that students are required to develop and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Demonstrate.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GCSE breakdown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Unit 1: Living with the physical environment 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Section A: The challenge of natural hazards 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Tectonic hazards, Tropical storms, Extreme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weather in the UK, Climate change.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Section B: Physical landscapes in the UK - UK physical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landscapes, River landscapes in the UK, Glacial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landscapes in the UK. Section C: The living world –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Ecosystems &amp; Tropical rainforests, Hot deserts.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Unit 2: Challenges in the human environment - Urban issues and challenges, the changing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economic world and the challenge of resource management.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Unit 3: Geographical applications - Issue evaluation - Synopticity, critical thinking and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problem-solving. Fieldwork - Questions based on the use of fieldwork in an unfamiliar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context and questions based on students’ individual enquiry work.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3.1 Living with the physical environment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This unit is concerned with the physical processes and systems, their dynamic nature and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human interaction with them at a range of scales and in a range of places.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aims of this unit are to develop an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understanding of the processes and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forms associated with tectonic,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geomorphological, biological and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meteorological processes in different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environments, and the need for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management strategies governed by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sustainability and consideration of the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direct and indirect effects of human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interaction with the earth and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Atmosphere.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3.2 Challenges in the human environment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This unit is concerned with human processes, systems and outcomes and how these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change both spatially and temporally. They are studied in a range of places, at a variety of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scales and must include places in various states of development.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 aims of this unit are to develop an understanding of the factors that produce a diverse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variety of human environments; the dynamic nature of these environments that change over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time and place; the need for sustainable management; and the areas of current and future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challenge and opportunity for these environments.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3.3 Geographical applications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This unit is designed to have elements of synopticity. It is an opportunity for students to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show their breadth of understanding and appreciation of the inter-relationships between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different aspects of geographical study.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Issue evaluation – This section contributes a critical thinking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and problem-solving element to the assessment structure. It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provides students with the opportunity to demonstrate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geographical skills and applied knowledge and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understanding by looking at a particular issue(s) derived from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 specification using secondary sources. The issue(s) will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arise from any aspect of the subject content but may extend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beyond it through the use of resources. They can then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analyse a geographical issue at a range of scales, consider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and select proposed solutions and justify their choices.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Fieldwork – Students will need to undertake two geographical enquiries. The first fieldwork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enquiry will be based upon the content in unit 3.1.2 (River landscapes in the UK). This will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be carried out in Year 10. The second fieldwork enquiry will take place in Year 11 and will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be based upon the regeneration in a local urban area.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