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Awarding Body - AQA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Further information available from: Mr Syed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 of Course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Geographers are highly employable because studying this GCSE offers: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Scientific and lab skills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 and interpret maps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interpretation of data including GIS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Debate and enquiry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and Social awareness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based project work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Fieldwork techniques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skills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Local, national and global concerns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Social, economic and environmental mindfulness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Fieldwork is a fundamental element of all Geography studies and it is an essential requirement for this course. There will be two field trips; one each for physical and human geography. It may incur cost and contribution from parents/carers is expected.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Unit 1 (Paper 1) – Living with the physical environment, 35% of the qualification (exam) Duration is 1hr 30 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The challenge of natural hazards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The living world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Physical landscapes in the UK (includes Geographical skills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Unit 2 (Paper 2) – Challenges in the human environment, 35% of the qualification (exam). Duration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1hr 30 min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Urban issues and challenges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The changing economic world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The challenge of resource management (includes Geographical skills)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Unit 3 (Paper 3) – Geographical applications, 30% of the qualification (exam) Duration 1 hr 15 min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Issues evaluation – decision-making exercise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Fieldwork – Questioned on 2 different pieces of field work. (includes Geographical skills)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 Year 11, Students are equipped to study a wide range of A levels.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Geography fits with most combinations of subjects. Some possible choices are Geography, Geology, Environmental Sciences, History, Government &amp; Politics, Law, International relations or Economics.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Career Ideas Geographers are highly employable due to the wide range of skills they gain through studying the subject!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Civil services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Civil Engineer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Environmentalist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Adviser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Correspondent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Geologist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GIS Technician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 Designer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Tourism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 Manager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Outdoor Pursuits Supervisor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Landscaper/Designer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Peacekeeper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Worker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Surveyor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Journalist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Agent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Presenter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Town and transport planning, GIS, Remote Sensing etc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 minister (Theresa May is a Geography graduate), or MP or Mayor, UK’s ambassador or work for United Nations (Environment/refugees/disaster management teams).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