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 Board: AWA</w:t>
      </w:r>
    </w:p>
    <w:p w:rsidR="00000000" w:rsidDel="00000000" w:rsidP="00000000" w:rsidRDefault="00000000" w:rsidRPr="00000000" w14:paraId="00000002">
      <w:pPr>
        <w:rPr/>
      </w:pPr>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Students will learn about the world they live in on a local, national and international scale. They will learn how the physical and human world interact and come into     conflict.  We  will  empower  students  to  formulate  and  voice  opinions  whilst              empathising with alternative views. The future of our planet may depend on our  education of sustainable futures. Students will undertake two fieldwork experiences in a local river and a visit to a local town.</w:t>
      </w:r>
    </w:p>
    <w:p w:rsidR="00000000" w:rsidDel="00000000" w:rsidP="00000000" w:rsidRDefault="00000000" w:rsidRPr="00000000" w14:paraId="00000004">
      <w:pPr>
        <w:rPr/>
      </w:pPr>
      <w:r w:rsidDel="00000000" w:rsidR="00000000" w:rsidRPr="00000000">
        <w:rPr>
          <w:rtl w:val="0"/>
        </w:rPr>
        <w:t xml:space="preserve">Course Structure</w:t>
      </w:r>
    </w:p>
    <w:p w:rsidR="00000000" w:rsidDel="00000000" w:rsidP="00000000" w:rsidRDefault="00000000" w:rsidRPr="00000000" w14:paraId="00000005">
      <w:pPr>
        <w:shd w:fill="ffffff" w:val="clear"/>
        <w:rPr>
          <w:sz w:val="20"/>
          <w:szCs w:val="20"/>
        </w:rPr>
      </w:pPr>
      <w:r w:rsidDel="00000000" w:rsidR="00000000" w:rsidRPr="00000000">
        <w:rPr>
          <w:sz w:val="20"/>
          <w:szCs w:val="20"/>
          <w:rtl w:val="0"/>
        </w:rPr>
        <w:t xml:space="preserve">Living with the physical environment.</w:t>
      </w:r>
    </w:p>
    <w:p w:rsidR="00000000" w:rsidDel="00000000" w:rsidP="00000000" w:rsidRDefault="00000000" w:rsidRPr="00000000" w14:paraId="00000006">
      <w:pPr>
        <w:shd w:fill="ffffff" w:val="clear"/>
        <w:rPr>
          <w:sz w:val="20"/>
          <w:szCs w:val="20"/>
        </w:rPr>
      </w:pPr>
      <w:r w:rsidDel="00000000" w:rsidR="00000000" w:rsidRPr="00000000">
        <w:rPr>
          <w:sz w:val="20"/>
          <w:szCs w:val="20"/>
          <w:rtl w:val="0"/>
        </w:rPr>
        <w:t xml:space="preserve">Challenges in the human environment.</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 xml:space="preserve">Geographical applications.</w:t>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 xml:space="preserve">Geographical skills.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Assessment</w:t>
      </w:r>
    </w:p>
    <w:p w:rsidR="00000000" w:rsidDel="00000000" w:rsidP="00000000" w:rsidRDefault="00000000" w:rsidRPr="00000000" w14:paraId="0000000B">
      <w:pPr>
        <w:shd w:fill="ffffff" w:val="clear"/>
        <w:rPr>
          <w:sz w:val="18"/>
          <w:szCs w:val="18"/>
        </w:rPr>
      </w:pPr>
      <w:r w:rsidDel="00000000" w:rsidR="00000000" w:rsidRPr="00000000">
        <w:rPr>
          <w:sz w:val="18"/>
          <w:szCs w:val="18"/>
          <w:rtl w:val="0"/>
        </w:rPr>
        <w:t xml:space="preserve">Paper 1 Physical geography (35%)</w:t>
      </w:r>
    </w:p>
    <w:p w:rsidR="00000000" w:rsidDel="00000000" w:rsidP="00000000" w:rsidRDefault="00000000" w:rsidRPr="00000000" w14:paraId="0000000C">
      <w:pPr>
        <w:shd w:fill="ffffff" w:val="clear"/>
        <w:rPr>
          <w:sz w:val="18"/>
          <w:szCs w:val="18"/>
        </w:rPr>
      </w:pPr>
      <w:r w:rsidDel="00000000" w:rsidR="00000000" w:rsidRPr="00000000">
        <w:rPr>
          <w:sz w:val="18"/>
          <w:szCs w:val="18"/>
          <w:rtl w:val="0"/>
        </w:rPr>
        <w:t xml:space="preserve">Paper 2 Human geography (35%)</w:t>
      </w:r>
    </w:p>
    <w:p w:rsidR="00000000" w:rsidDel="00000000" w:rsidP="00000000" w:rsidRDefault="00000000" w:rsidRPr="00000000" w14:paraId="0000000D">
      <w:pPr>
        <w:shd w:fill="ffffff" w:val="clear"/>
        <w:rPr>
          <w:sz w:val="18"/>
          <w:szCs w:val="18"/>
        </w:rPr>
      </w:pPr>
      <w:r w:rsidDel="00000000" w:rsidR="00000000" w:rsidRPr="00000000">
        <w:rPr>
          <w:sz w:val="18"/>
          <w:szCs w:val="18"/>
          <w:rtl w:val="0"/>
        </w:rPr>
        <w:t xml:space="preserve">Geographical Applications (30%)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 xml:space="preserve">Mr Parry</w:t>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 xml:space="preserve">Mrs Cleveley</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 xml:space="preserve">Miss Haslam</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