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Geography at Upper Batley High School is a carefully designed course which promotes and fosters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enthusiasm in learners for learning about the world in the 21st Century. The world is constantly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changing and our curriculum reflects this dynamic and changing world, investigating topical issues,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changing countries and potential futures. There is an emphasis on encouraging learners to develop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 independent curiosity about their world and its interactions.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Outline of Course Content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GCSE Geography offers a more in depth study of key geographical subjects such as earthquakes,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volcanoes, rivers, coasts, populations, global warming and urban growth. Geography is not 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classroom based as learners have the opportunity to take part in fieldwork away from the classroom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 GCSE level. We are also very fortunate to have a Forest School on the UBHS site.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Course Breakdown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GCSE course follows the AQA specification and consists of three topics: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Component 1: Living with the Physical Environment (35%) Written examination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Section A: The challenge of natural hazards Section B: The living world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Section C: Physical landscapes in the UK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Component 2: Human Environment (35%) Written examination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Section A: Urban issues and challenges Section B: The changing economic world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Section C: The challenge of resource management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Component 3: Geographical Applications (30%)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Section A: Issues Evaluation (using pre released material on a certain topic previously covered)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Section B: Fieldwork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Extracurricular and Enrichment Opportunities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Fieldtrips are designed to enable learners to experience at first hand the natural environment which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surrounds us. We are privileged to live in a country that is geographically diverse in both its physical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human characteristics and have exciting Geography on our doorstep. We shall certainly be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making the most of these opportunities and allowing learners to broaden their knowledge base.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