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Aims of the Subject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focus on the geographical processes that shape our world through the study of human and physical geography.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encourage students to relate to and learn from the world around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appreciate the threats to the planet and evaluate suitable solutions.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develop a variety of skills including – map work, fieldwork, ICT, numeracy and literacy.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use a wide range of teaching and learning activities.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build on the Geography covered in KS3 and provide a stepping stone to further study and career opportunities.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Course 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Geography course is divided into physical (p) and human (h) units: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Natural hazards (p) including earthquakes, volcanoes, tropical storms &amp; climate change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living world (p) focusing on tropical rain forests and cold environments UK physical landscapes (p) including rivers and glaciation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Urban issues and challenges (h) using Mumbai and Birmingham as case studies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Changing economic world (h) with in depth study of the UK and Nigeria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Resource management (h) focusing on energy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Fieldwork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will be a 3 day residential fieldtrip to Snowdonia in Y10 costing around £150 and other fieldwork opportunities during the two year course.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Homework is set on a weekly basis and will involve a variety of activities including reading, writing, processing information, research, fieldwork preparation and write-up and exam practice.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families can help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Encouraging an interest in local, national and world affairs (follow us on Twitter), discussing relevant issues that may arise in the local area or at a holiday destination, taking an interest in homework.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more information please contact Mr O. Jenkins (Head of Geography)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