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Intent</w:t>
      </w:r>
    </w:p>
    <w:p w:rsidR="00000000" w:rsidDel="00000000" w:rsidP="00000000" w:rsidRDefault="00000000" w:rsidRPr="00000000" w14:paraId="00000002">
      <w:pPr>
        <w:rPr/>
      </w:pPr>
      <w:r w:rsidDel="00000000" w:rsidR="00000000" w:rsidRPr="00000000">
        <w:rPr>
          <w:rtl w:val="0"/>
        </w:rPr>
        <w:t xml:space="preserve">To understand the theories that underpin concepts and challenges they face as global citizens. To heighten awareness, explore big ideas and question what’s going on in both local and global scales.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Geography curriculum gives students a well-rounded idea of the world that we live in by looking at physical and human geography topics, both nationally within the UK and internationally across the globe. The fieldwork element allows students to make real life connections by being immersed with hands on visual and practical experience, helping them to learn and understand.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dynamic course content and educational trips encourage the development of social, personal and study skills. Students will know far more about our fascinating and dynamic planet Earth and how it works, as well as developing the understanding and skills that will help them think like a geographer, now and in future.</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