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Qualification: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Equivalent to: 1 GCSE (9-1)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are interested in the world around you and fascinated by the similarities and differences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between people and the places they live, then this is the choice for you. Geography is the subject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is up to date and relevant to everyday life and combines science with a focus on people. You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will need to keep an eye on current events and feel comfortable with using ICT to research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present your findings. You must enjoy getting out and about whilst doing fieldwork.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Course 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course is split into three units over the two years.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Living with the Physical Environment – this includes natural hazards, climate change, coasts,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rivers and ecosystems.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Challenges in the Human Environment – this includes urban issues, economic change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resource management.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Geographical Skills and Fieldwork – this will develop the use of maps, charts, viewpoints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other data to build an effective understanding of issues and locations.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Indicative course cost: £75 to cover two compulsory fieldwork visits.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There are three written examinations. These all take place in the summer at the end of the two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years of the course.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There is one level of assessment. There will no longer be a Higher and Foundation tier.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Two fieldwork visits will be undertaken to provide experience in an outdoor environment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provide evidence for the fieldwork examination.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Progression – Sixth Form / Further Education / Careers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Geography is a subject that is widely respected and will help you to get a job that involves travel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 working for an international company. The teamwork skills and global awareness you gain whilst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studying the course give geographers a big advantage in the employment market. Many go on 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study the subject at A Level and then for a degree. Geography is also a useful subject for people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who want to study geology, oceanography, environmental science, meteorology, earth sciences,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anthropology and a whole range of other subjects.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Who would enjoy and be successful on the course?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People with an enquiring mind who like to understand why places are like they are. People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who enjoy working outdoors and who are interested in travel and might like to live or work 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another country. Also those who like to use their creativity and are not sure whether they are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more scientific or artistic.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