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of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 Board OCR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Assessment Three written Examination Papers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Unit 1: Our Natural World worth 35%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Unit 2: People and Society worth 35%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Unit 3: Geographical Exploration worth 30%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the subject for YOU if want to…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learn about and understand the world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you live 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investigate different places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environments whilst appreciating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geography of the U.K today.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develop skills that will be invaluable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throughout your life, including decision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making and problem solving – skills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that are highly valued by universities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and employers. Pupils complete practical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work away from the classroom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experience working in a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does it involve?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Unit 1: Our Natural World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Global Hazards, Changing climate, Distinctive Landscapes,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Sustaining Ecosystems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Unit 2: People and Society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Urban Futures, Dynamic Development, U.K in the Twentyfirst Century, Resource Reliance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During the course pupils are required to carry out two days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of fieldwork in contrasting locations.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Unit 3: Geographical Exploration. This synoptic unit draws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connections between the eight topics studied in Units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2, inviting pupils to develop critical thinking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decision-making skills.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Studying this subject could lead to...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A-Level Geography within the Sixth Form.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careers in tourism, teaching, business, law, medicine, the police force, meteorology,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government and environmental agencies.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further information contact Miss. S. Marks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