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Humanities: Head of Faculty: Miss S Rea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Examination Board: AQA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new AQA Geography syllabus is exciting,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varied and covers a range of Physical, Human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Environmental topics at both local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global scales, which engage students of 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abilities. During the course, students will learn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more about the natural landscape around 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discover the many ways in which humans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have influenced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will I learn on this course?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programme will allow students to develop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their knowledge and understanding 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human and geophysical processes, as well 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relationship between people and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environment. Students will enhance their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evaluative and analytical skills and apply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these to real world situations.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are the mandatory modules or units –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will I have to study?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1 – Living with the physical environment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Section A: The challenge of natural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hazards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Section B: Physical landscapes in the UK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Section C: The living world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hour 30 minutes written examination, 35% of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Paper 2 – Challenges in the Human Environment Section A: Urban Issues and challenges Section B: The changing economic world Section C: The challenge of resource management 1 hour 30 minutes written examination, 35% of GCSE Paper 3 – Geographical Applications Section A: Issue evaluation (decision making exercise) based on a pre-release booklet Section B: Field work questions 1 hour written examination, 30% of GCSE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