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Board: AQA GCSE Geography Course Code: 8035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 Lead - Mr S Bennett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Assessment Arrangements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1: Living with the Physical Environment: 90 minute exam 35%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Paper 2: Challenges in the Human Environment: 90 minute exam 35%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Paper 3: Geographical Applications, Issues and Fieldwork 30%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(Fieldwork will be examined as part of Paper 3 with visits to Llandudno Town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Llandudno Beach, Chester, Liverpool and North Wales depending on options taken.)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Please note that participation in the two fieldwork sessions is a mandatory requirement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examination. Students whose behaviour be considered too dangerous to themselves 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others will not be allowed to participate in the fieldwork and this would therefore be self penalising in the examination.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Curriculum Time and Homework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hours per fortnight in Year 10 and 6 hours per fortnight in Year 11. Approximately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hour per week minimum on homework.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Why Study this Course?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exciting course deals with the major issues that face the world today. Including how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different people around the world live and interact with their environment.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Progression Opportunities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Geographers make a great deal of use of transferable skills involving interpretation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analysis of information. Geography is a popular course of study at degree level and is 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top three subjects for graduate employment.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Geography and History are both considered facilitating subjects by the Russell Group 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top universities.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Geography is in the unique position of being classed as an Arts or Science subject 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degree level.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Geography is an ideal option for students considering careers in Business, Law, Leisure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Tourism, Journalism, Publishing, Teaching, the Emergency Services and the Civil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Service.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Paper 1: Natural Hazards - including earthquakes, volcanoes and hurricanes.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Coasts - the threat of rising sea levels and the use of the coast for leisure,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Rivers and flood management.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Ecosystems - the challenge of management and conservation.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Paper 2: Urban issues, planning, changing economic world and the challenge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resource management.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Paper 3: Questions will be based on your fieldwork investigation as well as decision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making activities.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