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GCSE GEOGRAPHY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NQF Level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Examination Board and Syllabus.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OCR Specification B (Geography for Enquiring Minds)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Assessment.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Unit 1 (35%) Our Natural World Written paper 1hour 15 minutes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Unit 2 (35%) People and Society Written paper 1hour 15 minutes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Unit 3 (30%) Geographical Exploration Written paper 1hour 30 minutes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 examinations will be sat during the Summer 2022 exam period.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Course Content.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Unit 1 – Our Natural World: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Global Hazards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Changing Climate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Distinctive Landscapes – Rivers and Coasts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Sustaining Ecosystems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Fieldwork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Geographical Skills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Unit 2 – People and Society: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Urban Futures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Dynamic Development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UK in the 21st Century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Resource Reliance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Fieldwork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Geographical Skills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Unit 3 - Geographical Exploration: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unit is based on content from Our Natural World and People and Society and will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feature a decision making exercise.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Geographical Skills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Decision Making Exercise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Skills and Qualities Required for Success: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Geographers can: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concise report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data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questions and find the answers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decisions about an issue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material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themselves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problems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independently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Geographers are: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communicators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Spatially aware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Socially and environmentally aware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solvers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team players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literate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rounded, flexible thinkers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Futures: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Post 16 AS/A2 Level:Geography, Geology, Sociology and Environmental Science.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Career Pathways: Urban/Rural Planning, Environmental Consultancy, Hazard/Emergency Management, Community Development, Climatologist, Oceanography, Teaching, Architecture, Geographical Information Systems (GIS)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Additional Requirements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 enthusiasm for Geography, an inquisitive approach to the world around you and 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desire to find out how the world is going to change in the future.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FS4 Maths is required as students are expected to develop and demonstrate a number of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geographical skills, including numerical and graphical skills. Students also need to use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 analyse different types of data.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