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GCSE course is divided into three units: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Unit 1: Living with the physical environment – you will study topics such as ‘The challenge of natural hazards’, ‘The living world’ and ‘Physical landscapes in the UK’.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Unit 2: Challenges in the human environment – you will study topics such as ‘Urban issues and challenges’, ‘The changing economic world’ and ‘The challenge of resource management’.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Unit 3: Geographical applications – this involves issue evaluation, fieldwork and geographical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sit three examination papers (one each for Units 1, 2 &amp; 3). Paper 1 and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are each worth 35%, so comprise 70% of the total marks. The other 30% of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marks are gained from Paper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16 Progression The skills you develop in your geographical studies make you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 potential interest to a wide range of employers as it is a much respected academic subject. Associated future careers include environmental and transport consultancy, surveying, cartography and architecture. In addition many geographers move into finance, law, accountancy and marketing.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Contact: Mrs Husband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