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Students will study towards their GCSE through a mixture of coursework and exams. Tapton School follows the OCR Specification B: Geography for Enquiring Minds.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Year 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Students will study up to four of the following topics: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Sustaining Ecosystems: Why are natural ecosystems important; Why should tropical rainforests matter to us; Is there more to polar environments than ice?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Resource Resilience: Will we run out of natural resources; Can we feed nine billion people by 2050?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Distinctive Landscapes: What makes a landscape distinctive; What influences the landscapes of the UK?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Global Hazards: How can weather be hazardous, How do plate tectonics shape our world?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Year 11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Students will complete the study of the following topics: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Changing Climate: What evidence is there for a changing climate; Is climate change a natural process; Why is climate change a global issue?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Urban Features:  Why do more than half of the world's population lie in urban areas; What are the challenges and opportunities for cities today?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Dynamic Development: Why are some countries richer than others; Are low income developing countries likely to stay poor?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UK in the 21st Century: How is the UK changing in the 21st Century; Is the UK losing its global significance?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Fieldwork to the city centre will take place in the autumn term.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