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 Board: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 Codes: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8035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Contacts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Mr J Parker (Subject Leader for Geography)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Grading Structure: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Paper 1: Living with the Physical Environment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challenge of natural hazards, Physical Landscapes in the UK, The living world, Geographical Skills.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it is assessed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 Written exam 1 hour 30 mins including marks for spelling punctuation, grammar and specialist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 1: Challenges in the Human Environment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Urban issues and challenges, The changing economic world, The challenge of resource management,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it is assessed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 Written exam 1 hour 30 mins including marks for spelling punctuation, grammar and specialist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3: Geographical Applications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Issue evaluation, Fieldwork, Geographical skills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it is assessed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· Written exam 1 hour including marks for spelling punctuation, grammar and specialist terminology. Prerelease resource material available from 15th March in the year of the exam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Students will travel the world from the classroom, exploring case studies in the United Kingdom (UK) newly emerging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economies (NEEs) and lower income countries (LICs). Topics of study include climate change, poverty, deprivation, global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shifts in economic power and the challenge of sustainable resource use. Students are also encouraged to understand their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role in society, by considering different viewpoints, values and attitudes.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Students will develop essential skills such as problem solving, decision making, synthesising ideas, identifying issues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communicating findings through the undertaking of a fieldwork investigation.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Find out by logging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into Unifrog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going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Extra support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Field trips/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