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 Lessons/Fortnight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Geography has a brilliant course on offer, which is broken into three key topic areas: Our Natural World (Physical Geography) People and Society (Human Geography) and Geographical Exploration, which looks at how the Geography of a case study has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impacted that place.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topics are really varied to give you a great scope of knowledge and make you start to ‘Know like a Geographer’. The course also includes compulsory fieldwork, which will take place in SE London and Brighton over the two year course.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Year 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Term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Topic 1: Global Hazards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Topic 2: Urban Futures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Term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Topic 1: Sustaining Ecosystems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Topic 2: Changing Climate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Term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Topic 1: Distinctive Landscapes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Topic 2: Physical Fieldwork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Year 11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Term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Topic 1: Human Fieldwork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Topic 2: UK in the 21st Century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Term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Topic 1: Resource Reliance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Topic 2: Unit 3 Preparation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Term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Examinations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Career Pathways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Students can progress into A Level Geography in year 12, before selecting from a wide range of degrees and apprenticeships in the field of Geography, including: &gt; Geography &gt; Geology &gt; Environmental Science &gt; Conservation Science &gt; Water and Resource Management &gt; Landscaping Designer &gt; GIS analyst and programming and many many more!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Exam Board: OCR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100% Exams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0% Coursework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(Fieldwork Exam questions replace coursework)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