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course includes both traditional and contemporary issues in the world today. A mixture of human 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physical geography units lead to a balanced and relevant GCSE for the 21st Century.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Course Structure and Content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students will follow the AQA GCSE Course.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Paper 1 Living with the physical environment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Consists of questions on physical geography topics from the following areas of study: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The challenge of natural hazards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Physical landscapes in the UK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The living world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Paper 2 Challenges in the human environment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Consists of questions based on human geography topics from the following areas of study: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Urban issues and challenges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The changing economic world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The challenge of resource management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Paper 3 Geographical applications and skills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Consists of a series of questions related to contemporary physical and human geographical issues.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Critical thinking and problem-solving task(s) that look(s) at a particular issue(s) from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course using secondary sources.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is an interesting and rewarding course, which provides good preparation for future studies in geography,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environmental studies, travel and tourism and other post-16 options including employment.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achieve success in the examination, students must be able to take responsibility for their work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to demonstrate an ability to learn, organise and interpret geographical information.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Enthusiasm to achieve essential.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Board: AQA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Examinations: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Paper 1 (35%)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Paper 2 (35%) All candidates sit the same paper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Paper 3 (30%)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