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Optional Subject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Ebacc Subject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 study Geography?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Geography is a forward-looking subject and a part of everyday life.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levels of interest span all scales, from a local planning enquiry to global warming. Geography is highly regarded by employers, sixth forms and universities alike as it shows that a person has a broad educational background and a breadth of knowledge encompassing both Art and Science.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gain a good understanding of how the world operates, as well as current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events and an appreciation of different cultures at home and abroad. You will also develop a diverse range of skills, including communication, teamwork, literacy, numeracy, analytical, investigative, ICT and decision making skills.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course will cover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Unit 1 – Global Geographical Issues: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Hazardous Earth (atmosphere, climate change, hurricanes, earthquakes, volcanoes), development dynamics (global inequality, including how an emerging country is developing),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challenges of an urbanising world (causes and challenges of urbanisation, including a study of a mega-city).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Unit 2 – UK Geographical Issues: The UK’s evolving physical landscape (overview of UK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landscape, with detail on coasts and rivers), the UK’s evolving human landscape (overview of the varied UK human landscape, with detail of a major UK city), and Geographical investigations – including one physical fieldwork investigation and one human fieldwork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investigation.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Unit 3 – People and environment issues: People and the biosphere (ecosystems, their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importance for human wellbeing and for resources), Forests under threat (tropical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rainforests and taiga), and Consuming energy resources (renewable and nonrenewable energy, supply, demand, sustainability).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Assessment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Component Weighting Duration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Paper 1 Unit 1 37.5% 1 hour 30 mins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Paper 2 Unit 2 37.5% 1 hour 30 mins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Paper 3 Unit 3 25% 1 hour 30 mins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School contact Mr Buckingham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Exam board Edexcel GCSE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Geography B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Subject code 1GB0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Qualification number 601/8135/7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