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AWARDING BODY: AQA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“The study of Geography is about more than just memorizing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places on a map.” Barak Obama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study of Geography is a gateway to understanding the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around us. We aim to provide students with opportunities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appreciate and try to make sense of the world around us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 a sense of place. Students are encouraged to ask as well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answer questions, and at the heart of our geographical study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 engaging students with the global issues of today, such as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threat of climate change, and how we can manage and protect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our world in a sustainable way.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subject content includes the physical geography of the UK,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including rivers and coasts. The human geography of the UK,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including population change and urban environments. Students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will study world geography including volcanoes and earthquakes,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flooding, development and environmental issues.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students will complete two geographical investigations, one 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human environment and one in a physical environment. They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will collect data, which they present using their geographical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skills and understanding. This will be examined at the end of the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course.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100% of the course is assessed through written examinations 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end of Year 11. Questions will look at all aspects of the course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including geographical skills and investigations.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Career Relevance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Geography is a subject that is highly regarded for its broad range of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skills and wide curriculum. GCSE Geography can help students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access AS/A2 and BTEC courses and can lead to careers such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business management, law, leisure and tourism, architecture,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town planning, marketing, teaching, banking, computer game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design, risk management, surveying, coastal and river engineering,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civil service and the armed forces.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