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course is designed to give all students the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confidence and experience to help inform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shape ideas; investigating the human and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physical strands of Geography.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Study will enable students to become global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citizens and have the cultural literacy to be role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models for the future. The Geography course will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allow students to immerse themselves into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real-life issues that are facing the planet whilst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allowing students to consider their own opinion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that of others. The Geography course 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designed to answer the big issues facing our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world today.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Paper 1: Living with the physical environment.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challenge of natural hazards, the living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world, physical landscapes in the UK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geographical skills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it's assessed?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Written exam: 1 hour 30 minutes 35% of the GCSE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Paper 2: Challenges in the human environment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Urban issues and challenges, the changing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economic world, the challenges of resource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management, geographical skills.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it’s assessed?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Written exam: 1 hour 30 minutes 35% of the exam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Paper 3: Geographical applications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Issue evaluation, fieldwork, geographical skills.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How it’s assessed?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Written exam: 1 hour 15 minutes 30% of the exam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Future Prospects / Career options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Geography can lead to a wide range of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professions that can also lead to many travel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opportunities. Potential careers in Geography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include: Planning Officer, Secondary School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Teacher, Cartographer, Journalist, Town Planner,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Police and Estate Agent.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Further Course information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following websites are really useful to help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learn more about Geography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Time for Geography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Cool Geography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Who Should I Talk to?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Miss Pendlebury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