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Qualification/level at the end of the course: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description: students will travel the world from their classroom,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exploring case studies in the United Kingdom (UK), higher income countries (HICs),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newly emerging economies (NEEs) and lower income countries (LICs). Topics of study include climate change,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poverty, deprivation, global shifts in economic power and the challenge of sustainable resource use. Students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also encouraged to understand their role in society, by considering different viewpoints, values and attitudes.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fully approved syllabus provided by the exam board is outlined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Paper 1 - Living with the physical 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Section A - the challenge of natural hazards (tectonic hazards, weather hazards, climate change)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Section B - the living world (ecosystems, tropical rainforests, hot deserts)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Section C - physical landscapes in the UK (coastal landscapes, river landscapes)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35% of the course, 88 marks, 1hr 30min.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Paper 2 - Challenges in the human environment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Section A - urban issues and challenges (social, economic, environmental challenges and opportunities in UK cities,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urban sustainability)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B - the changing economic world (the development gap and quality of life around the world, rapid growth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cities around the world and the challenges and opportunities they bring, economic future of UK cities)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C - the challenge of resource management (food, water, energy)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35% of course, 88 marks, 1hr 30min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3 - Geographical applications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Section A - issue evaluation—a resource booklet will be available 12 weeks before the exam based around a 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topic of the syllabus. The assessment will provide students with the opportunity to demonstrate geographical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applied knowledge and understanding by looking at a particular issue(s) derived from the specification using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secondary sources.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Section B - fieldwork - students need to undertake two geographical enquiries, each of which must include the use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 primary data, collected as part of a fieldwork exercise. Attendance at these two days is compulsory and there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may be a nominal financial contribution required.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30% of course, 76 marks, 1hr 15min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happens if I want to study Geography and History?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Pick your first preference within the core block and then choose your second choice as an option.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