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 board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Edexcel - Geography A (1GA1)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Course description (what is this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subject about / key topics 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themes)?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course is divided into three sections: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Component 1 - The Physical Environment - including Coasts,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Rivers, Landscapes, Weather and Climate and Ecosystems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(37.5% of the course).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Component 2 - The Human Environment - including British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Global Cities, Global Development, Industry and Energy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Management (37.5% of the course).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Component 3 - Geographical Investigations - Fieldwork and UK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Challenges - including Physical and Human Geography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fieldwork, Climate Change, Sustainability, Migration and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Settlement (25% of the course).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Are there tiered exams?No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is the course assessed? (including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details of practical work / controlled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assessment)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Students will complete three examinations at the end of the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course; each examination lasts for 90 minutes. Students will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complete two fieldwork assignments, but these are assessed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within the Component 3 examination.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Why should I study this subject / what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areas of study could this subject lead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 in the future?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Geography as a GCSE subject compliments Mathematics,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English Language and Science, utilising key skills gained through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these subjects. Geography is a traditional, well-respected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subject that can be used to support applications for all scientific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A-Levels and degree courses. A range of employment areas,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such as Law, Engineering and Scientific Research also use the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skills developed within a Geographical education.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