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Year group:10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of Department: Mr P Henricksen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Examination Board: EDEXCEL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AIMS OF THE GEOGRAPHY 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study of geography helps make sense of our beautiful, complex and dynamic world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prepares students for their role as a global citizen in the twenty-first century.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Geography stimulates an interest in and a sense of wonder about places. It explains how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places and landscapes are formed, how people and environment interact and how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diverse range of economies and societies are interconnected. It builds on students’ own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experiences to investigate the personal to the global. Geographical enquiry encourages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questioning, investigation and critical thinking about issues affecting the world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people’s lives, for the present and future. Fieldwork is an essential element of this.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Students will learn to think spatially using maps, visual images and new technologies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including geographical information systems, to obtain, present and analyse information.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Geography inspires students to think about their own place in the world, their values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responsibilities to other people, to the environment and the sustainability of the planet.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a number of key concepts that underpin the study of geography, which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students need to deepen and broaden their knowledge, skills and understanding.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These concepts are: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Place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Space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Scale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Interdependence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Process (human and physical)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Cultural Diversity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COURSE DESCRIPTION UNITS/MODULES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Students start the GCSE Edexcel B geography course in year 9 and study the content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skills over 3 years. There are 3 components / exam papers which contain the following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topicsComponent one – Hazardous Earth/Development Dynamics/Challenges of an Urbanising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Component two – The UKs evolving physical landscape – Coastal change and conflict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River processes and pressures. The UKs evolving human landscape which includes a case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study of London. Geographical Investigations which includes one physical fieldwork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investigation and one human fieldwork investigation.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Component three - People and the biosphere/ Forests under threat/Consuming energy resources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STUDENT GROUPING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Mixed ability groups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IT WILL BE ASSESSED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Papers 1 and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Both papers are 1 hour 30 mins and total 94 marks each counting as 37.5% each of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 grade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Each topic will contain a mix of questions from 1 to 12 marks using resources.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Paper one examines topics in component one and paper two examines topics 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component two.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Paper three is a resource based decision making paper in 4 sections worth 54 marks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based on the topics of component three.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Homework will be set in line with the school homework policy.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 IS THE COURSE TAUGHT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wide range of resources are used in lessons so that all types of learners can access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lessons. Resources range from Digimaps and Kerboodle to videos and fieldwork.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TEXT BOOKS/MATERIALS/VISITS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Textbooks for the new specification – student access through Kerboodle. Compulsory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fieldtrips to meet the new exam criteria and a residential fieldtrip.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