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course covers 5 geographical themes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Physical landscapes of the UK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Extreme environments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Global hazards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changing economic world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challenges of resource management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is a balance of theoretical and practical work based on both the UK and global issues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that affect all of us. There is no coursework element although students will complete 2 pieces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 fieldwork.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PERSON SPECIFICATION - IS THIS COURSE RIGHT FOR YOU?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Geography will appeal to students with a genuine interest in how the world works both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natural and human terms. If you want to understand the planet you live on and the impact 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has on our lives then geography is the course for you.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FURTHER PROGRESSION - WHAT OPPORTUNITIES COULD THIS COURSE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OFFER YOU?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Geography is both a scientific subject and one which encourages thoughtful writing. As such,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 links well with other subjects you may be studying and helps you to follow a balanced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curriculum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offers a balance of academic and practical work and therefore develops a range of skills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which employers will appreciate. You will also acquire a good understanding of current local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global geographical issues.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Geography is highly regarded by employers as a qualification that develops many important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skills.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Many of the new industries that will become important in the 21st Century will require people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with an understanding of global economic and environmental issues.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