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exciting course is based on a balanced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physical and human geography. Students investigate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link between the two themes and travel the 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their classroom, exploring case studies in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United Kingdom, higher income countries, newly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emerging economies and lower income countries.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Students are also encouraged to understand their role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society by considering different viewpoints,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attitudes.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Areas of Study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unit aims to develop an understanding of different physical processes,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their dynamic nature and human interaction with them at a range of scales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 range of places. Topics include Natural Hazards, Coastal Landscapes, Rivers,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Ecosystems, Tropical Rainforests and Cold Environments.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unit aims to develop an understanding of the factors that produce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wide range of human environments. Topics include World Population, Urban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Growth, Sustainable Living, The Changing Economic World and The Challenges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 Resource Management.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unit aims to develop fieldwork skills covering both human and physical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geography. This includes map skills, describing, analysing and explaining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fieldwork data, data recording and statistical analysis.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Students will explore case studies in the UK and newly-emerging economies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such as Nigeria and Brazil. In the specification content, students are required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use both case studies and examples. Case studies are broader in context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require greater breadth and depth of knowledge and understanding. Examples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 more focused on a specific event or situation, are smaller in scale and 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 cover the same degree of content.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Future Options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GCSE in Geography is suitable for anyone wishing to study Geography at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Level. Geography also compliments any Sixth Form advanced course of study.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Geography is a facilitating subject, giving you a distinct advantage when applying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places at the top universities.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