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To stimulate an interest in the natural environment and the way people live in countries 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different levels of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To develop practical skills such as map work and writing up the results of field-work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To provide an interesting and challenging course using a wide-variety of teaching methods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Physical Environment (*Paper 1 code: 1GA0/01)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Topic 1: The changing landscapes of the UK – including optional sub-topics from which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students choose two from three, 1A: Coastal landscapes and processes, 1B: River landscapes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processes and 1C: Glaciated upland landscapes and processes.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Topic 2: Weather hazards and climate change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Topic 3: Ecosystems, biodiversity and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Human Environment (*Paper 2 code: 1GA0/02)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Topic 4: Changing cities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Topic 5: Global development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Topic 6: Resource management – including optional sub-topics from which students choose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one from two, 6A: Energy resource management and 6B: Water resource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Geographical Investigations: Fieldwork and UK Challenges (*Paper 3 code: 1GA0/03)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Topic 7: Geographical investigations – fieldwork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Topic 8: Geographical investigations − UK challenges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Edexcel Syllabus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THREE written exam papers at the end of the course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Paper 1 - 1 hour and 30 minutes, 37.5% of the qualification, 94 marks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Paper 2 - 1 hour and 30 minutes, 37.5% of the qualification, 94 marks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Paper 3 - 1 hour and 30 minutes, 25% of the qualification, 64 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As a department we have many years of experience teaching. Results are amongst the 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departments in the school and many students gain their highest grades in Geography.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