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is the subject which tackles the big issues that affect 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all. If you are interested in the changes that are occurring in 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region and across the globe, then this is the subject for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world in which we live in is likely to change more in the next fifty years than it ever has 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before. Geography explains why, and helps to prepare for those changes. Geography is a broad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subject which keeps your options open as it fits with both science and arts subjects. It also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provides you with a range of skills – in data handling, research skills and report writing.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encourages flexible thinking, a valuable asset in today's world.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study the AQA syllabus which is a contemporary course covering the following topics: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Paper 1-Physical Geography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topics studied in this unit are ‘Challenge of natural hazards’, ‘Physical landscapes in the UK’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‘The living world’. In this unit we analyse the processes that have shaped the world we live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in. We also consider how these processes effect the people who live on the planet . For example,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why earthquakes in poorer countries cause more loss of life than earthquakes in richer ones?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Paper 2-Human Geography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topics studied in this unit are ‘Urban issues and challenges’, ‘The changing economic world’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‘The challenge of resource management’. This unit investigates the world and the people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it, their interactions with one another and their complex environments.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Paper 3 Geographical Applications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unit requires pupils to collect primary data to investigate patterns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geographical processes. To do this the Geography Department offers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field trip to collect the necessary data for this paper. This has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additional benefit of aiding their understanding for the exam.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will undertake a day of human and physical fieldwork on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edge of North Yorkshire Moors. This will comprise of one day occurring in the summer.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ASSESSMENT INFORMATION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Paper 1: Physical Geography 35% of the GCSE 1hr 30 exam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Paper 2: Human Geography 35% of the GCSE 1hr 30 exam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Paper 3: Geographical Applications 30% of the GCSE 1 hour exam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