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Course: AQA Geography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Paper 1: Living with the physical environment = 35%, 1 hour 30 minute exam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The challenge of natural hazards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Natural hazards; Weather hazards; Climate change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The Living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Eco-systems; Tropical rainforests; Hot deserts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Physical landscapes in the UK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UK physical landscapes; Coastal landscapes; River landscapes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Paper 2: Challenges in the human environment = 35%, 1 hour 30 minute exam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Urban issues and challenges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The changing economic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challenge of resource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Paper 3: Geographical applications = 30%, 1 hour 15 minute exam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Issue evaluation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Fieldwork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GCSE Geography is based on a balanced framework of physical and human geography.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allows students to investigate the link between the two themes, and approach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examine the battles between the man-made and natural worlds.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Students travel the world from the classroom, exploring case studies in the UK, higher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income countries (HICs), newly emerging economies (NEEs) and lower income countries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(LICs). Topics of study include climate change, poverty, deprivation, global shifts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economic power and the challenge of sustainable resource use.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students will complete two pieces of fieldwork. Both the physical (coasts) and human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(regeneration of an urban area). The information gathered on these trips will be used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 a section in the Paper 3 exam.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Progression Routes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GCSE Geography lays an appropriate foundation for further study of Geography 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related subject at A Level and beyond. Geography is also highly valued by employers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its combination of subject knowledge and transferable skills as well as its links with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other subjects such as English, maths, ICT and Science.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further information, please contact our Head of Humanities: Mr T.Balmer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