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‘Geography shapes the choices of world leaders’ Gideon Rachman (2016)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Geography will help you to be more aware of everyday situations and issues faced by people who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live around you. Geography is a highly topical subject and is ever changing, as world events unfold.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GCSE aims to: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Develop your understanding of the relationship between the environment and humans.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Encourage you to develop and practise important geographical skills such as recording, analysing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interpreting information.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To explore the complex world we live in through a study of both human and physical landscapes.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COURSE OUTLINE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MODULE ELEMENTS ASSESSMENT DATE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Component 1: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Changing Physical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Human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Landscapes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Unit 1: Landscapes and Physical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Processes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Unit 2: Rural-Urban Links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Unit 3: Tectonic Landscapes and Hazards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Exam: 1hr 30m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35% of the overall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qualification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88 marks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Summer Term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Component 2: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Environmental and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Development Issues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Unit 4: Weather, Climate and Ecosystems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Unit 5: Development and Resource Issues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Unit 6: Social Development Issues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Exam: 1hr 30m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35% of the overall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qualification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88 marks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Summer Term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Component 3: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Applied Fieldword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Enquiry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Part A: Approach to Fieldwork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Part A: Approach to Fieldwork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Part C: Decision Making – Wider UK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Exam: 1hr 30m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30% of the overall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qualification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76 marks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Summer Term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OUTSIDE THE CLASSROOM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Students are required to carry out fieldwork at two locations, where students will focus on how to design and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carry out fieldwork. There is no coursework to be completed; skills will be tested in Paper 3.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We also offer and optional four day trip to Iceland, an unforgettable experience for our Geographers, who get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 experience a tectonic landscape unlike any other! This trip is incredibly popular – pictures of past trips can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be seen at @hallmeadgeog twitter page.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