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Qualification Available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GCSE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Examination Board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EDUCAS Specification 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Syllabus Content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syllabus provides a balanced coverage of physical and human aspects of the subject and will,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through a range of exemplars, highlight the interaction between these.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syllabus is assessed in three parts which are shown in the Assessment Matrix below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Assessment Units Nature of Assessment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Unit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Investigating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Geographical Issues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Written Examination: 1 hour 45 minutes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40% of qualification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Three structured data response questions. The final part of each question will require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 extended response.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Question 1 will assess aspects of Theme 1, Changing Places - Changing Economies.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 2 will assess aspects of Theme 2, Changing Environments.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Question 3 will assess aspects of Theme 3, Environmental Challenges.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Unit 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Geography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Written Examination: 1 hour 30 minutes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30% of qualification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component will assess content from across the themes using a variety of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structured data response questions.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Part A will introduce an issue and set the geographical context.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Part B will outline a number of possible solutions to the issue.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Part C will provide an opportunity for the candidates to choose a solution and justify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their choice in an extended response.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Unit 3 Applied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Fieldwork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Written Examination: 1 hour 30 minutes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30% of qualification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written examination in three parts using a variety of structured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 response questions some of which will require extended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responses.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Part A will assess approaches to fieldwork methodology,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representation and analysis.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Part B will assess how fieldwork enquiry may be used 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investigate geography's conceptual frameworks.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Part C will assess the application of broad geographical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concepts to a wider UK context and assess the ability to make and justify a decision.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All students are given the opportunity to participate in local fieldwork exercises as well as 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residential course over four days at the world heritage Jurassic Coast on the South of England.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will take place in May, the first half of the summer term in Year 10 and is compulsory to the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course. It is a government legal requirement that all departments offering Geography GCSE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provide at least a two day fieldwork experience for pupils. The cost will be in the region of £310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subsistence is available for pupils eligible for pupil premium. The field work offers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students not only a valuable academic but also excellent social learning experience.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