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Leader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Mr D Major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100%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Examination Board: AQA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Specification: (8035)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Qualification: GCSE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Assessment: 3 externally examined units of 35%, 35% &amp; 30%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Content Unit 1: Physical Geography Comprising three units  The Challenge of Natural Hazards  Physical Landscapes in the UK  The Living World Assessment: 1hr 30 minute exam paper Unit 2: Human Geography Comprising three units  Urban Issues and Challenges  The Changing Economic World  Resource Management Assessment: 1hr 30 minute exam paper Unit 3: Skills  Field work and Geographical Skills  Issue Evaluation Assessment: 1hr 15 minute exam paper.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Future progression: Teacher, Higher education lecturing, Planning, Accountancy, Environmental agency and law.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Extra curricular: Two compulsory field trips to New Brighton and Birkenhead, optional overseas trip to Bay of Naples. Masterclasses.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